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psmdcp" ContentType="application/vnd.openxmlformats-package.core-properties+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customXml/item.xml" ContentType="application/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bd83f96389c1412a" /><Relationship Type="http://schemas.openxmlformats.org/officeDocument/2006/relationships/officeDocument" Target="/word/document.xml" Id="Ra9056c32590b46d9" /><Relationship Type="http://schemas.openxmlformats.org/package/2006/relationships/metadata/core-properties" Target="/package/services/metadata/core-properties/6f58ae6013e24398bbbeeaa9f96fa7c0.psmdcp" Id="Ra80d62f43fe84df1" 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15="http://schemas.microsoft.com/office/word/2012/wordml" xmlns:a="http://schemas.openxmlformats.org/drawingml/2006/main" xmlns:wp="http://schemas.openxmlformats.org/drawingml/2006/wordprocessingDrawing" xmlns:pic="http://schemas.openxmlformats.org/drawingml/2006/picture" xmlns:c="http://schemas.openxmlformats.org/drawingml/2006/chart" xmlns:dgm="http://schemas.openxmlformats.org/drawingml/2006/diagram" xmlns:wpg="http://schemas.microsoft.com/office/word/2010/wordprocessingGroup" xmlns:wps="http://schemas.microsoft.com/office/word/2010/wordprocessingShape" xmlns:mc="http://schemas.openxmlformats.org/markup-compatibility/2006" mc:Ignorable="w14 w15">
  <w:background w:color="FFFFFF"/>
  <w:body>
    <w:p>
      <w:pPr>
        <w:pStyle w:val="Heading1"/>
      </w:pPr>
      <w:bookmarkStart w:name="H_understanding_gradient_descent" w:id="1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Understanding Gradient Descent</w:t>
      </w:r>
      <w:bookmarkEnd w:id="1"/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Great question! Here's a clear walkthrough of how gradient descent actually works .</w:t>
      </w:r>
    </w:p>
    <w:p>
      <w:r>
        <w:rPr>
          <w:b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The core idea: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we want to minimise a loss function </w:t>
      </w:r>
      <m:oMath>
        <m:r>
          <m:t xml:space="preserve">L</m:t>
        </m:r>
        <m:r>
          <m:t xml:space="preserve">(</m:t>
        </m:r>
        <m:r>
          <m:t xml:space="preserve">θ</m:t>
        </m:r>
        <m:r>
          <m:t xml:space="preserve">)</m:t>
        </m:r>
      </m:oMath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by repeatedly stepping in the direction that reduces it fastest — the negative gradient. Each update looks like:</w:t>
      </w:r>
    </w:p>
    <w:p>
      <w:pPr>
        <w:spacing w:before="120" w:after="120"/>
        <w:jc w:val="center"/>
      </w:pPr>
      <m:oMath>
        <m:sSub>
          <m:e>
            <m:r>
              <m:t xml:space="preserve">θ</m:t>
            </m:r>
          </m:e>
          <m:sub>
            <m:r>
              <m:t xml:space="preserve">t</m:t>
            </m:r>
            <m:r>
              <m:t xml:space="preserve">+</m:t>
            </m:r>
            <m:r>
              <m:t xml:space="preserve">1</m:t>
            </m:r>
          </m:sub>
        </m:sSub>
        <m:r>
          <m:t xml:space="preserve">=</m:t>
        </m:r>
        <m:sSub>
          <m:e>
            <m:r>
              <m:t xml:space="preserve">θ</m:t>
            </m:r>
          </m:e>
          <m:sub>
            <m:r>
              <m:t xml:space="preserve">t</m:t>
            </m:r>
          </m:sub>
        </m:sSub>
        <m:r>
          <m:t xml:space="preserve">-</m:t>
        </m:r>
        <m:r>
          <m:t xml:space="preserve">η</m:t>
        </m:r>
        <m:sSub>
          <m:e>
            <m:r>
              <m:t xml:space="preserve">∇</m:t>
            </m:r>
          </m:e>
          <m:sub>
            <m:r>
              <m:t xml:space="preserve">θ</m:t>
            </m:r>
          </m:sub>
        </m:sSub>
        <m:r>
          <m:t xml:space="preserve">L</m:t>
        </m:r>
        <m:r>
          <m:t xml:space="preserve">(</m:t>
        </m:r>
        <m:sSub>
          <m:e>
            <m:r>
              <m:t xml:space="preserve">θ</m:t>
            </m:r>
          </m:e>
          <m:sub>
            <m:r>
              <m:t xml:space="preserve">t</m:t>
            </m:r>
          </m:sub>
        </m:sSub>
        <m:r>
          <m:t xml:space="preserve">)</m:t>
        </m:r>
      </m:oMath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where </w:t>
      </w:r>
      <m:oMath>
        <m:r>
          <m:t xml:space="preserve">η</m:t>
        </m:r>
      </m:oMath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is the </w:t>
      </w:r>
      <w:r>
        <w:rPr>
          <w:b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learning rate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.</w:t>
      </w:r>
    </w:p>
    <w:p>
      <w:pPr>
        <w:pStyle w:val="Heading3"/>
      </w:pPr>
      <w:bookmarkStart w:name="H_a_minimal_implementation" w:id="2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A minimal implementation</w:t>
      </w:r>
      <w:bookmarkEnd w:id="2"/>
    </w:p>
    <w:p>
      <w:pPr>
        <w:pStyle w:val="MSCode_python"/>
        <w:keepLines/>
        <w:pBdr>
          <w:top w:val="single" w:color="D1D5DA" w:sz="4" w:space="4"/>
          <w:left w:val="single" w:color="D1D5DA" w:sz="4" w:space="4"/>
          <w:bottom w:val="single" w:color="D1D5DA" w:sz="4" w:space="4"/>
          <w:right w:val="single" w:color="D1D5DA" w:sz="4" w:space="4"/>
        </w:pBdr>
        <w:shd w:val="clear" w:color="auto" w:fill="F6F8FA"/>
        <w:wordWrap w:val="false"/>
        <w:spacing w:before="60" w:after="60" w:line="240" w:lineRule="auto"/>
      </w:pPr>
      <w:r>
        <w:rPr>
          <w:rFonts w:ascii="Consolas" w:hAnsi="Consolas"/>
          <w:b/>
          <w:noProof/>
          <w:color w:val="0550AE"/>
        </w:rPr>
        <w:t xml:space="preserve">import</w:t>
      </w:r>
      <w:r>
        <w:rPr>
          <w:rFonts w:ascii="Consolas" w:hAnsi="Consolas"/>
          <w:noProof/>
          <w:color w:val="24292F"/>
        </w:rPr>
        <w:t xml:space="preserve"> numpy </w:t>
      </w:r>
      <w:r>
        <w:rPr>
          <w:rFonts w:ascii="Consolas" w:hAnsi="Consolas"/>
          <w:b/>
          <w:noProof/>
          <w:color w:val="0550AE"/>
        </w:rPr>
        <w:t xml:space="preserve">as</w:t>
      </w:r>
      <w:r>
        <w:rPr>
          <w:rFonts w:ascii="Consolas" w:hAnsi="Consolas"/>
          <w:noProof/>
          <w:color w:val="24292F"/>
        </w:rPr>
        <w:t xml:space="preserve"> np</w:t>
        <w:br/>
        <w:br/>
      </w:r>
      <w:r>
        <w:rPr>
          <w:rFonts w:ascii="Consolas" w:hAnsi="Consolas"/>
          <w:b/>
          <w:noProof/>
          <w:color w:val="0550AE"/>
        </w:rPr>
        <w:t xml:space="preserve">def</w:t>
      </w:r>
      <w:r>
        <w:rPr>
          <w:rFonts w:ascii="Consolas" w:hAnsi="Consolas"/>
          <w:noProof/>
          <w:color w:val="24292F"/>
        </w:rPr>
        <w:t xml:space="preserve"> </w:t>
      </w:r>
      <w:r>
        <w:rPr>
          <w:rFonts w:ascii="Consolas" w:hAnsi="Consolas"/>
          <w:noProof/>
          <w:color w:val="8250DF"/>
        </w:rPr>
        <w:t xml:space="preserve">gradient_descent</w:t>
      </w:r>
      <w:r>
        <w:rPr>
          <w:rFonts w:ascii="Consolas" w:hAnsi="Consolas"/>
          <w:noProof/>
          <w:color w:val="24292F"/>
        </w:rPr>
        <w:t xml:space="preserve">(grad, theta, lr=</w:t>
      </w:r>
      <w:r>
        <w:rPr>
          <w:rFonts w:ascii="Consolas" w:hAnsi="Consolas"/>
          <w:noProof/>
          <w:color w:val="0550AE"/>
        </w:rPr>
        <w:t xml:space="preserve">0.1</w:t>
      </w:r>
      <w:r>
        <w:rPr>
          <w:rFonts w:ascii="Consolas" w:hAnsi="Consolas"/>
          <w:noProof/>
          <w:color w:val="24292F"/>
        </w:rPr>
        <w:t xml:space="preserve">, steps=</w:t>
      </w:r>
      <w:r>
        <w:rPr>
          <w:rFonts w:ascii="Consolas" w:hAnsi="Consolas"/>
          <w:noProof/>
          <w:color w:val="0550AE"/>
        </w:rPr>
        <w:t xml:space="preserve">100</w:t>
      </w:r>
      <w:r>
        <w:rPr>
          <w:rFonts w:ascii="Consolas" w:hAnsi="Consolas"/>
          <w:noProof/>
          <w:color w:val="24292F"/>
        </w:rPr>
        <w:t xml:space="preserve">):</w:t>
        <w:br/>
        <w:t xml:space="preserve">    </w:t>
      </w:r>
      <w:r>
        <w:rPr>
          <w:rFonts w:ascii="Consolas" w:hAnsi="Consolas"/>
          <w:b/>
          <w:noProof/>
          <w:color w:val="0550AE"/>
        </w:rPr>
        <w:t xml:space="preserve">for</w:t>
      </w:r>
      <w:r>
        <w:rPr>
          <w:rFonts w:ascii="Consolas" w:hAnsi="Consolas"/>
          <w:noProof/>
          <w:color w:val="24292F"/>
        </w:rPr>
        <w:t xml:space="preserve"> _ </w:t>
      </w:r>
      <w:r>
        <w:rPr>
          <w:rFonts w:ascii="Consolas" w:hAnsi="Consolas"/>
          <w:b/>
          <w:noProof/>
          <w:color w:val="0550AE"/>
        </w:rPr>
        <w:t xml:space="preserve">in</w:t>
      </w:r>
      <w:r>
        <w:rPr>
          <w:rFonts w:ascii="Consolas" w:hAnsi="Consolas"/>
          <w:noProof/>
          <w:color w:val="24292F"/>
        </w:rPr>
        <w:t xml:space="preserve"> </w:t>
      </w:r>
      <w:r>
        <w:rPr>
          <w:rFonts w:ascii="Consolas" w:hAnsi="Consolas"/>
          <w:noProof/>
          <w:color w:val="116329"/>
        </w:rPr>
        <w:t xml:space="preserve">range</w:t>
      </w:r>
      <w:r>
        <w:rPr>
          <w:rFonts w:ascii="Consolas" w:hAnsi="Consolas"/>
          <w:noProof/>
          <w:color w:val="24292F"/>
        </w:rPr>
        <w:t xml:space="preserve">(steps):</w:t>
        <w:br/>
        <w:t xml:space="preserve">        theta = theta - lr * </w:t>
      </w:r>
      <w:r>
        <w:rPr>
          <w:rFonts w:ascii="Consolas" w:hAnsi="Consolas"/>
          <w:noProof/>
          <w:color w:val="8250DF"/>
        </w:rPr>
        <w:t xml:space="preserve">grad</w:t>
      </w:r>
      <w:r>
        <w:rPr>
          <w:rFonts w:ascii="Consolas" w:hAnsi="Consolas"/>
          <w:noProof/>
          <w:color w:val="24292F"/>
        </w:rPr>
        <w:t xml:space="preserve">(theta)</w:t>
        <w:br/>
        <w:t xml:space="preserve">    </w:t>
      </w:r>
      <w:r>
        <w:rPr>
          <w:rFonts w:ascii="Consolas" w:hAnsi="Consolas"/>
          <w:b/>
          <w:noProof/>
          <w:color w:val="0550AE"/>
        </w:rPr>
        <w:t xml:space="preserve">return</w:t>
      </w:r>
      <w:r>
        <w:rPr>
          <w:rFonts w:ascii="Consolas" w:hAnsi="Consolas"/>
          <w:noProof/>
          <w:color w:val="24292F"/>
        </w:rPr>
        <w:t xml:space="preserve"> theta</w:t>
      </w:r>
    </w:p>
    <w:p>
      <w:pPr>
        <w:pStyle w:val="Heading3"/>
      </w:pPr>
      <w:bookmarkStart w:name="H_choosing_the_learning_rate" w:id="3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Choosing the learning rate</w:t>
      </w:r>
      <w:bookmarkEnd w:id="3"/>
    </w:p>
    <w:p>
      <w:pPr>
        <w:numPr>
          <w:ilvl w:val="0"/>
          <w:numId w:val="1"/>
        </w:numPr>
        <w:contextualSpacing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Too </w:t>
      </w:r>
      <w:r>
        <w:rPr>
          <w:b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small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→ training crawls and may never converge in reasonable time</w:t>
      </w:r>
    </w:p>
    <w:p>
      <w:pPr>
        <w:numPr>
          <w:ilvl w:val="0"/>
          <w:numId w:val="1"/>
        </w:numPr>
        <w:contextualSpacing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Too </w:t>
      </w:r>
      <w:r>
        <w:rPr>
          <w:b/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large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→ the loss oscillates or diverges entirely</w:t>
      </w:r>
    </w:p>
    <w:p>
      <w:pPr>
        <w:numPr>
          <w:ilvl w:val="0"/>
          <w:numId w:val="1"/>
        </w:numPr>
        <w:contextualSpacing/>
      </w:pP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A good default is to start around </w:t>
      </w:r>
      <w:r>
        <w:rPr>
          <w:rFonts w:ascii="Consolas" w:hAnsi="Consolas"/>
          <w:noProof/>
          <w:sz w:val="20"/>
          <w:bdr w:val="single" w:color="auto" w:sz="4" w:space="1"/>
          <w:shd w:val="clear" w:color="auto" w:fill="auto"/>
        </w:rPr>
        <w:t xml:space="preserve">1e-3</w:t>
      </w:r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and tune from there</w:t>
      </w:r>
    </w:p>
    <w:p>
      <w:pPr>
        <w:pStyle w:val="Heading3"/>
      </w:pPr>
      <w:bookmarkStart w:name="H_variants_worth_knowing" w:id="4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Variants worth knowing</w:t>
      </w:r>
      <w:bookmarkEnd w:id="4"/>
    </w:p>
    <w:tbl>
      <w:tblPr>
        <w:tblW w:w="5000" w:type="pct"/>
        <w:tblBorders>
          <w:top w:val="single" w:color="D1D5DA" w:sz="6"/>
          <w:left w:val="single" w:color="D1D5DA" w:sz="6"/>
          <w:bottom w:val="single" w:color="D1D5DA" w:sz="6"/>
          <w:right w:val="single" w:color="D1D5DA" w:sz="6"/>
          <w:insideH w:val="single" w:color="D1D5DA" w:sz="6"/>
          <w:insideV w:val="single" w:color="D1D5DA" w:sz="6"/>
        </w:tblBorders>
        <w:tblCellMar>
          <w:top w:w="120" w:type="dxa"/>
          <w:left w:w="180" w:type="dxa"/>
          <w:bottom w:w="120" w:type="dxa"/>
          <w:right w:w="180" w:type="dxa"/>
        </w:tblCellMar>
      </w:tblPr>
      <w:tblGrid>
        <w:gridCol w:w="1085"/>
        <w:gridCol w:w="3798"/>
        <w:gridCol w:w="3662"/>
        <w:gridCol w:w="1000"/>
      </w:tblGrid>
      <w:tr>
        <w:trPr>
          <w:cantSplit/>
          <w:tblHeader/>
        </w:trPr>
        <w:tc>
          <w:tcPr>
            <w:tcW w:w="1085" w:type="dxa"/>
            <w:shd w:val="clear" w:color="auto" w:fill="F6F8FA"/>
          </w:tcPr>
          <w:p>
            <w:r>
              <w:rPr>
                <w:b/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Variant</w:t>
            </w:r>
          </w:p>
        </w:tc>
        <w:tc>
          <w:tcPr>
            <w:tcW w:w="3798" w:type="dxa"/>
            <w:shd w:val="clear" w:color="auto" w:fill="F6F8FA"/>
          </w:tcPr>
          <w:p>
            <w:r>
              <w:rPr>
                <w:b/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What changes</w:t>
            </w:r>
          </w:p>
        </w:tc>
        <w:tc>
          <w:tcPr>
            <w:tcW w:w="3662" w:type="dxa"/>
            <w:shd w:val="clear" w:color="auto" w:fill="F6F8FA"/>
          </w:tcPr>
          <w:p>
            <w:r>
              <w:rPr>
                <w:b/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Good for</w:t>
            </w:r>
          </w:p>
        </w:tc>
      </w:tr>
      <w:tr>
        <w:trPr>
          <w:cantSplit/>
        </w:trPr>
        <w:tc>
          <w:tcPr>
            <w:tcW w:w="1085" w:type="dx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SGD</w:t>
            </w:r>
          </w:p>
        </w:tc>
        <w:tc>
          <w:tcPr>
            <w:tcW w:w="3798" w:type="dx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one sample per step</w:t>
            </w:r>
          </w:p>
        </w:tc>
        <w:tc>
          <w:tcPr>
            <w:tcW w:w="3662" w:type="dx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large datasets</w:t>
            </w:r>
          </w:p>
        </w:tc>
      </w:tr>
      <w:tr>
        <w:trPr>
          <w:cantSplit/>
        </w:trPr>
        <w:tc>
          <w:tcPr>
            <w:tcW w:w="1085" w:type="dxa"/>
            <w:shd w:val="clear" w:color="auto" w:fill="F6F8F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Momentum</w:t>
            </w:r>
          </w:p>
        </w:tc>
        <w:tc>
          <w:tcPr>
            <w:tcW w:w="3798" w:type="dxa"/>
            <w:shd w:val="clear" w:color="auto" w:fill="F6F8F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accumulates past gradients</w:t>
            </w:r>
          </w:p>
        </w:tc>
        <w:tc>
          <w:tcPr>
            <w:tcW w:w="3662" w:type="dxa"/>
            <w:shd w:val="clear" w:color="auto" w:fill="F6F8F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ravines / plateaus</w:t>
            </w:r>
          </w:p>
        </w:tc>
      </w:tr>
      <w:tr>
        <w:trPr>
          <w:cantSplit/>
        </w:trPr>
        <w:tc>
          <w:tcPr>
            <w:tcW w:w="1085" w:type="dx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Adam</w:t>
            </w:r>
          </w:p>
        </w:tc>
        <w:tc>
          <w:tcPr>
            <w:tcW w:w="3798" w:type="dx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per-parameter adaptive rates</w:t>
            </w:r>
          </w:p>
        </w:tc>
        <w:tc>
          <w:tcPr>
            <w:tcW w:w="3662" w:type="dxa"/>
          </w:tcPr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most deep-learning defaults</w:t>
            </w:r>
          </w:p>
        </w:tc>
      </w:tr>
    </w:tbl>
    <w:p>
      <w:pPr>
        <w:spacing w:before="0" w:after="0"/>
      </w:pPr>
    </w:p>
    <w:sectPr>
      <w:headerReference w:type="default" r:id="Ra4aa2f8a229a46ed"/>
      <w:footerReference w:type="default" r:id="R7dc7025b9f4b4b99"/>
      <w:pgSz w:w="11906" w:h="16838"/>
      <w:pgMar w:top="1440" w:right="1440" w:bottom="1440" w:left="1440" w:header="576" w:footer="576" w:gutter="0"/>
    </w:sectPr>
  </w:body>
</w:document>
</file>

<file path=word/footer1.xml><?xml version="1.0" encoding="utf-8"?>
<w:ftr xmlns:w="http://schemas.openxmlformats.org/wordprocessingml/2006/main">
  <w:p>
    <w:pPr>
      <w:spacing w:after="0"/>
      <w:jc w:val="center"/>
    </w:pPr>
    <w:r>
      <w:rPr>
        <w:color w:val="808080"/>
        <w:sz w:val="16"/>
      </w:rPr>
      <w:t xml:space="preserve">Page </w:t>
    </w:r>
    <w:fldSimple w:instr=" PAGE ">
      <w:r>
        <w:rPr>
          <w:color w:val="808080"/>
          <w:sz w:val="16"/>
        </w:rPr>
        <w:t>1</w:t>
      </w:r>
    </w:fldSimple>
    <w:r>
      <w:rPr>
        <w:color w:val="808080"/>
        <w:sz w:val="16"/>
      </w:rPr>
      <w:t xml:space="preserve"> of </w:t>
    </w:r>
    <w:fldSimple w:instr=" NUMPAGES ">
      <w:r>
        <w:rPr>
          <w:color w:val="808080"/>
          <w:sz w:val="16"/>
        </w:rPr>
        <w:t>1</w:t>
      </w:r>
    </w:fldSimple>
    <w:r>
      <w:rPr>
        <w:color w:val="808080"/>
        <w:sz w:val="16"/>
      </w:rPr>
      <w:t xml:space="preserve">  ·  MarkSmith</w:t>
    </w:r>
  </w:p>
</w:ftr>
</file>

<file path=word/header1.xml><?xml version="1.0" encoding="utf-8"?>
<w:hdr xmlns:w="http://schemas.openxmlformats.org/wordprocessingml/2006/main">
  <w:p>
    <w:pPr>
      <w:pBdr>
        <w:bottom w:val="single" w:color="D1D5DA" w:sz="6" w:space="3"/>
      </w:pBdr>
      <w:spacing w:after="0"/>
      <w:jc w:val="right"/>
    </w:pPr>
    <w:r>
      <w:rPr>
        <w:smallCaps/>
        <w:color w:val="000000"/>
        <w:spacing w:val="30"/>
        <w:sz w:val="18"/>
      </w:rPr>
      <w:t xml:space="preserve">Understanding Gradient Descent</w:t>
    </w:r>
  </w:p>
</w:hd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○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10"/>
  <w:displayBackgroundShape/>
  <w:autoHyphenation/>
</w:settings>
</file>

<file path=word/styles.xml><?xml version="1.0" encoding="utf-8"?>
<w:styles xmlns:w="http://schemas.openxmlformats.org/wordprocessingml/2006/main">
  <w:docDefaults>
    <w:rPrDefault>
      <w:rPr>
        <w:rFonts w:ascii="Segoe UI Variable" w:hAnsi="Segoe UI Variable" w:eastAsia="Segoe UI Variable" w:cs="Segoe UI Variable"/>
        <w:color w:val="1b1f23"/>
        <w:kern w:val="16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styleId="Normal" w:default="true">
    <w:name w:val="Normal"/>
  </w:style>
  <w:style w:type="paragraph" w:styleId="Heading1">
    <w:name w:val="heading 1"/>
    <w:basedOn w:val="Normal"/>
    <w:next w:val="Normal"/>
    <w:qFormat/>
    <w:pPr>
      <w:keepNext/>
      <w:pBdr>
        <w:bottom w:val="single" w:color="D1D5DA" w:sz="12" w:space="4"/>
      </w:pBdr>
      <w:spacing w:before="280" w:after="140"/>
      <w:outlineLvl w:val="0"/>
    </w:pPr>
    <w:rPr>
      <w:b/>
      <w:smallCaps/>
      <w:color w:val="000000"/>
      <w:spacing w:val="20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D1D5DA" w:sz="12" w:space="4"/>
      </w:pBdr>
      <w:spacing w:before="280" w:after="140"/>
      <w:outlineLvl w:val="1"/>
    </w:pPr>
    <w:rPr>
      <w:b/>
      <w:color w:val="090B0C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280" w:after="140"/>
      <w:outlineLvl w:val="2"/>
    </w:pPr>
    <w:rPr>
      <w:b/>
      <w:color w:val="121417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b/>
      <w:color w:val="1b1f23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spacing w:before="280" w:after="140"/>
      <w:outlineLvl w:val="4"/>
    </w:pPr>
    <w:rPr>
      <w:b/>
      <w:color w:val="1b1f23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before="280" w:after="140"/>
      <w:outlineLvl w:val="5"/>
    </w:pPr>
    <w:rPr>
      <w:b/>
      <w:color w:val="6A737D"/>
      <w:sz w:val="22"/>
      <w:szCs w:val="22"/>
    </w:rPr>
  </w:style>
  <w:style w:type="character" w:styleId="Hyperlink">
    <w:name w:val="Hyperlink"/>
    <w:rPr>
      <w:color w:val="0563C1"/>
      <w:u w:val="single"/>
    </w:rPr>
  </w:style>
  <w:style w:type="paragraph" w:styleId="TOC1">
    <w:name w:val="toc 1"/>
    <w:basedOn w:val="Normal"/>
    <w:rPr>
      <w:color w:val="1b1f23"/>
    </w:rPr>
  </w:style>
  <w:style w:type="paragraph" w:styleId="TOC2">
    <w:name w:val="toc 2"/>
    <w:basedOn w:val="Normal"/>
    <w:rPr>
      <w:color w:val="1b1f23"/>
    </w:rPr>
  </w:style>
  <w:style w:type="paragraph" w:styleId="TOC3">
    <w:name w:val="toc 3"/>
    <w:basedOn w:val="Normal"/>
    <w:rPr>
      <w:color w:val="1b1f23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/word/numbering.xml" Id="Rcc02ccad5b0f4fec" /><Relationship Type="http://schemas.openxmlformats.org/officeDocument/2006/relationships/styles" Target="/word/styles.xml" Id="Rda91e4e3cd964818" /><Relationship Type="http://schemas.openxmlformats.org/officeDocument/2006/relationships/header" Target="/word/header1.xml" Id="Ra4aa2f8a229a46ed" /><Relationship Type="http://schemas.openxmlformats.org/officeDocument/2006/relationships/footer" Target="/word/footer1.xml" Id="R7dc7025b9f4b4b99" /><Relationship Type="http://schemas.openxmlformats.org/officeDocument/2006/relationships/settings" Target="/word/settings.xml" Id="Re0e96e37a0244864" /><Relationship Type="http://schemas.openxmlformats.org/officeDocument/2006/relationships/customXml" Target="/customXml/item.xml" Id="Rce8e9c442aa342ae" /></Relationships>
</file>

<file path=customXml/item.xml><?xml version="1.0" encoding="utf-8"?>
<marksmithSource schema="marksmith-source-v1" version="3.1.0.0" exportedUtc="2026-09-11T06:01:37.0523765Z" theme="GitHub Light" mermaidMode="1">
  <markdown><![CDATA[# Understanding Gradient Descent
Great question! Here's a clear walkthrough of how gradient descent actually works .
**The core idea:** we want to minimise a loss function $ L(\theta) $ by repeatedly stepping in the direction that reduces it fastest — the negative gradient. Each update looks like:
$$
\theta_{t+1} = \theta_t - \eta \nabla_\theta L(\theta_t)
$$
where $ \eta $ is the **learning rate**.
### A minimal implementation
```python
import numpy as np
def gradient_descent(grad, theta, lr=0.1, steps=100):
    for _ in range(steps):
        theta = theta - lr * grad(theta)
    return theta
```
### Choosing the learning rate 
- Too **small** → training crawls and may never converge in reasonable time
- Too **large** → the loss oscillates or diverges entirely 
- A good default is to start around `1e-3` and tune from there
### Variants worth knowing
| Variant | What changes | Good for |
| :--- | :--- | :--- |
| SGD | one sample per step | large datasets |
| Momentum | accumulates past gradients | ravines / plateaus |
| Adam | per-parameter adaptive rates | most deep-learning defaults |]]></markdown>
</marksmithSource>
</file>

<file path=docProps/app.xml><?xml version="1.0" encoding="utf-8"?>
<ap:Properties xmlns:ap="http://schemas.openxmlformats.org/officeDocument/2006/extended-properties">
  <ap:Company>Marksmith by Matthew Bubb</ap:Company>
</ap:Properties>
</file>