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.xml" ContentType="application/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92f557d980b249f6" /><Relationship Type="http://schemas.openxmlformats.org/officeDocument/2006/relationships/officeDocument" Target="/word/document.xml" Id="R2a88ef81eca542c8" /><Relationship Type="http://schemas.openxmlformats.org/package/2006/relationships/metadata/core-properties" Target="/package/services/metadata/core-properties/44f6fa27c64f4268a519af6b1ba07712.psmdcp" Id="Re39cf4aa73b34758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a="http://schemas.openxmlformats.org/drawingml/2006/main" xmlns:wp="http://schemas.openxmlformats.org/drawingml/2006/wordprocessingDrawing" xmlns:pic="http://schemas.openxmlformats.org/drawingml/2006/picture" xmlns:c="http://schemas.openxmlformats.org/drawingml/2006/chart" xmlns:dgm="http://schemas.openxmlformats.org/drawingml/2006/diagram" xmlns:wpg="http://schemas.microsoft.com/office/word/2010/wordprocessingGroup" xmlns:wps="http://schemas.microsoft.com/office/word/2010/wordprocessingShape" xmlns:mc="http://schemas.openxmlformats.org/markup-compatibility/2006" mc:Ignorable="w14 w15">
  <w:background w:color="FFFFFF"/>
  <w:body>
    <w:tbl>
      <w:tblPr>
        <w:tblW w:w="5000" w:type="pct"/>
        <w:tblBorders>
          <w:top w:val="none"/>
          <w:left w:val="single" w:color="BF8700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F5ECD6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rFonts w:ascii="Segoe UI Emoji" w:hAnsi="Segoe UI Emoji" w:eastAsia="Segoe UI Emoji" w:cs="Segoe UI Emoji"/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⚠</w:t>
            </w:r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️ WARNING</w:t>
            </w:r>
          </w:p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Raw Export (Without MarkSmith):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 This document illustrates standard uncleaned AI copy-paste into Word. Notice the unparsed </w:t>
            </w:r>
            <w:r>
              <w:rPr>
                <w:rFonts w:ascii="Consolas" w:hAnsi="Consolas"/>
                <w:noProof/>
                <w:sz w:val="20"/>
                <w:bdr w:val="single" w:color="auto" w:sz="4" w:space="1"/>
                <w:shd w:val="clear" w:color="auto" w:fill="auto"/>
                <w:color w:val="1b1f23"/>
              </w:rPr>
              <w:t xml:space="preserve">\(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 math delimiters, citation pips </w:t>
            </w:r>
            <w:r>
              <w:rPr>
                <w:rFonts w:ascii="Consolas" w:hAnsi="Consolas"/>
                <w:noProof/>
                <w:sz w:val="20"/>
                <w:bdr w:val="single" w:color="auto" w:sz="4" w:space="1"/>
                <w:shd w:val="clear" w:color="auto" w:fill="auto"/>
                <w:color w:val="1b1f23"/>
              </w:rPr>
              <w:t xml:space="preserve">【12†source】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, clipboard button text (</w:t>
            </w:r>
            <w:r>
              <w:rPr>
                <w:rFonts w:ascii="Consolas" w:hAnsi="Consolas"/>
                <w:noProof/>
                <w:sz w:val="20"/>
                <w:bdr w:val="single" w:color="auto" w:sz="4" w:space="1"/>
                <w:shd w:val="clear" w:color="auto" w:fill="auto"/>
                <w:color w:val="1b1f23"/>
              </w:rPr>
              <w:t xml:space="preserve">Copy code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), and stray tokens below.</w:t>
            </w:r>
          </w:p>
        </w:tc>
      </w:tr>
    </w:tbl>
    <w:p>
      <w:pPr>
        <w:pStyle w:val="Heading1"/>
      </w:pPr>
      <w:bookmarkStart w:name="H_understanding_gradient_descent" w:id="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Understanding Gradient Descent</w:t>
      </w:r>
      <w:bookmarkEnd w:id="1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Great question! Here's a clear walkthrough of how gradient descent actually works 【12†source】.</w:t>
      </w:r>
    </w:p>
    <w:p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The core idea: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we want to minimise a loss function 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( L(\theta) 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) by repeatedly stepping in the direction that reduces it fastest — the negative gradient. Each update looks like: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[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\theta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_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{t+1} = \theta_t - \eta \nabla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_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\theta L(\theta_t)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]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where 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( \eta 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) is the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learning rate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.</w:t>
      </w:r>
    </w:p>
    <w:p>
      <w:pPr>
        <w:pStyle w:val="Heading3"/>
      </w:pPr>
      <w:bookmarkStart w:name="H_a_minimal_implementation" w:id="2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 minimal implementation</w:t>
      </w:r>
      <w:bookmarkEnd w:id="2"/>
    </w:p>
    <w:p>
      <w:pPr>
        <w:pStyle w:val="MSCode_python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b/>
          <w:noProof/>
          <w:color w:val="0550AE"/>
        </w:rPr>
        <w:t xml:space="preserve">import</w:t>
      </w:r>
      <w:r>
        <w:rPr>
          <w:rFonts w:ascii="Consolas" w:hAnsi="Consolas"/>
          <w:noProof/>
          <w:color w:val="24292F"/>
        </w:rPr>
        <w:t xml:space="preserve"> numpy </w:t>
      </w:r>
      <w:r>
        <w:rPr>
          <w:rFonts w:ascii="Consolas" w:hAnsi="Consolas"/>
          <w:b/>
          <w:noProof/>
          <w:color w:val="0550AE"/>
        </w:rPr>
        <w:t xml:space="preserve">as</w:t>
      </w:r>
      <w:r>
        <w:rPr>
          <w:rFonts w:ascii="Consolas" w:hAnsi="Consolas"/>
          <w:noProof/>
          <w:color w:val="24292F"/>
        </w:rPr>
        <w:t xml:space="preserve"> np</w:t>
        <w:br/>
        <w:br/>
      </w:r>
      <w:r>
        <w:rPr>
          <w:rFonts w:ascii="Consolas" w:hAnsi="Consolas"/>
          <w:b/>
          <w:noProof/>
          <w:color w:val="0550AE"/>
        </w:rPr>
        <w:t xml:space="preserve">def</w:t>
      </w:r>
      <w:r>
        <w:rPr>
          <w:rFonts w:ascii="Consolas" w:hAnsi="Consolas"/>
          <w:noProof/>
          <w:color w:val="24292F"/>
        </w:rPr>
        <w:t xml:space="preserve"> </w:t>
      </w:r>
      <w:r>
        <w:rPr>
          <w:rFonts w:ascii="Consolas" w:hAnsi="Consolas"/>
          <w:noProof/>
          <w:color w:val="8250DF"/>
        </w:rPr>
        <w:t xml:space="preserve">gradient_descent</w:t>
      </w:r>
      <w:r>
        <w:rPr>
          <w:rFonts w:ascii="Consolas" w:hAnsi="Consolas"/>
          <w:noProof/>
          <w:color w:val="24292F"/>
        </w:rPr>
        <w:t xml:space="preserve">(grad, theta, lr=</w:t>
      </w:r>
      <w:r>
        <w:rPr>
          <w:rFonts w:ascii="Consolas" w:hAnsi="Consolas"/>
          <w:noProof/>
          <w:color w:val="0550AE"/>
        </w:rPr>
        <w:t xml:space="preserve">0.1</w:t>
      </w:r>
      <w:r>
        <w:rPr>
          <w:rFonts w:ascii="Consolas" w:hAnsi="Consolas"/>
          <w:noProof/>
          <w:color w:val="24292F"/>
        </w:rPr>
        <w:t xml:space="preserve">, steps=</w:t>
      </w:r>
      <w:r>
        <w:rPr>
          <w:rFonts w:ascii="Consolas" w:hAnsi="Consolas"/>
          <w:noProof/>
          <w:color w:val="0550AE"/>
        </w:rPr>
        <w:t xml:space="preserve">100</w:t>
      </w:r>
      <w:r>
        <w:rPr>
          <w:rFonts w:ascii="Consolas" w:hAnsi="Consolas"/>
          <w:noProof/>
          <w:color w:val="24292F"/>
        </w:rPr>
        <w:t xml:space="preserve">):</w:t>
        <w:br/>
        <w:t xml:space="preserve">    </w:t>
      </w:r>
      <w:r>
        <w:rPr>
          <w:rFonts w:ascii="Consolas" w:hAnsi="Consolas"/>
          <w:b/>
          <w:noProof/>
          <w:color w:val="0550AE"/>
        </w:rPr>
        <w:t xml:space="preserve">for</w:t>
      </w:r>
      <w:r>
        <w:rPr>
          <w:rFonts w:ascii="Consolas" w:hAnsi="Consolas"/>
          <w:noProof/>
          <w:color w:val="24292F"/>
        </w:rPr>
        <w:t xml:space="preserve"> _ </w:t>
      </w:r>
      <w:r>
        <w:rPr>
          <w:rFonts w:ascii="Consolas" w:hAnsi="Consolas"/>
          <w:b/>
          <w:noProof/>
          <w:color w:val="0550AE"/>
        </w:rPr>
        <w:t xml:space="preserve">in</w:t>
      </w:r>
      <w:r>
        <w:rPr>
          <w:rFonts w:ascii="Consolas" w:hAnsi="Consolas"/>
          <w:noProof/>
          <w:color w:val="24292F"/>
        </w:rPr>
        <w:t xml:space="preserve"> </w:t>
      </w:r>
      <w:r>
        <w:rPr>
          <w:rFonts w:ascii="Consolas" w:hAnsi="Consolas"/>
          <w:noProof/>
          <w:color w:val="116329"/>
        </w:rPr>
        <w:t xml:space="preserve">range</w:t>
      </w:r>
      <w:r>
        <w:rPr>
          <w:rFonts w:ascii="Consolas" w:hAnsi="Consolas"/>
          <w:noProof/>
          <w:color w:val="24292F"/>
        </w:rPr>
        <w:t xml:space="preserve">(steps):</w:t>
        <w:br/>
        <w:t xml:space="preserve">        theta = theta - lr * </w:t>
      </w:r>
      <w:r>
        <w:rPr>
          <w:rFonts w:ascii="Consolas" w:hAnsi="Consolas"/>
          <w:noProof/>
          <w:color w:val="8250DF"/>
        </w:rPr>
        <w:t xml:space="preserve">grad</w:t>
      </w:r>
      <w:r>
        <w:rPr>
          <w:rFonts w:ascii="Consolas" w:hAnsi="Consolas"/>
          <w:noProof/>
          <w:color w:val="24292F"/>
        </w:rPr>
        <w:t xml:space="preserve">(theta)</w:t>
        <w:br/>
        <w:t xml:space="preserve">    </w:t>
      </w:r>
      <w:r>
        <w:rPr>
          <w:rFonts w:ascii="Consolas" w:hAnsi="Consolas"/>
          <w:b/>
          <w:noProof/>
          <w:color w:val="0550AE"/>
        </w:rPr>
        <w:t xml:space="preserve">return</w:t>
      </w:r>
      <w:r>
        <w:rPr>
          <w:rFonts w:ascii="Consolas" w:hAnsi="Consolas"/>
          <w:noProof/>
          <w:color w:val="24292F"/>
        </w:rPr>
        <w:t xml:space="preserve"> theta</w:t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Copy code</w:t>
      </w:r>
    </w:p>
    <w:p>
      <w:pPr>
        <w:pStyle w:val="Heading3"/>
      </w:pPr>
      <w:bookmarkStart w:name="H_choosing_the_learning_rate_3sourc" w:id="3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Choosing the learning rate 【3†source】</w:t>
      </w:r>
      <w:bookmarkEnd w:id="3"/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Too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small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→ training crawls and may never converge in reasonable time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Too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large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→ the loss oscillates or diverges entirely :contentReference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[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oaicite:0]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 good default is to start around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1e-3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and tune from there</w:t>
      </w:r>
    </w:p>
    <w:p>
      <w:pPr>
        <w:pStyle w:val="Heading3"/>
      </w:pPr>
      <w:bookmarkStart w:name="H_variants_worth_knowing" w:id="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Variants worth knowing</w:t>
      </w:r>
      <w:bookmarkEnd w:id="4"/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85"/>
        <w:gridCol w:w="3798"/>
        <w:gridCol w:w="3662"/>
        <w:gridCol w:w="1000"/>
      </w:tblGrid>
      <w:tr>
        <w:trPr>
          <w:cantSplit/>
          <w:tblHeader/>
        </w:trPr>
        <w:tc>
          <w:tcPr>
            <w:tcW w:w="1085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Variant</w:t>
            </w:r>
          </w:p>
        </w:tc>
        <w:tc>
          <w:tcPr>
            <w:tcW w:w="3798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What changes</w:t>
            </w:r>
          </w:p>
        </w:tc>
        <w:tc>
          <w:tcPr>
            <w:tcW w:w="3662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Good for</w:t>
            </w:r>
          </w:p>
        </w:tc>
      </w:tr>
      <w:tr>
        <w:trPr>
          <w:cantSplit/>
        </w:trPr>
        <w:tc>
          <w:tcPr>
            <w:tcW w:w="1085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SGD</w:t>
            </w:r>
          </w:p>
        </w:tc>
        <w:tc>
          <w:tcPr>
            <w:tcW w:w="3798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one sample per step</w:t>
            </w:r>
          </w:p>
        </w:tc>
        <w:tc>
          <w:tcPr>
            <w:tcW w:w="3662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large datasets</w:t>
            </w:r>
          </w:p>
        </w:tc>
      </w:tr>
      <w:tr>
        <w:trPr>
          <w:cantSplit/>
        </w:trPr>
        <w:tc>
          <w:tcPr>
            <w:tcW w:w="1085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Momentum</w:t>
            </w:r>
          </w:p>
        </w:tc>
        <w:tc>
          <w:tcPr>
            <w:tcW w:w="3798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accumulates past gradients</w:t>
            </w:r>
          </w:p>
        </w:tc>
        <w:tc>
          <w:tcPr>
            <w:tcW w:w="3662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ravines / plateaus</w:t>
            </w:r>
          </w:p>
        </w:tc>
      </w:tr>
      <w:tr>
        <w:trPr>
          <w:cantSplit/>
        </w:trPr>
        <w:tc>
          <w:tcPr>
            <w:tcW w:w="1085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Adam</w:t>
            </w:r>
          </w:p>
        </w:tc>
        <w:tc>
          <w:tcPr>
            <w:tcW w:w="3798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per-parameter adaptive rates</w:t>
            </w:r>
          </w:p>
        </w:tc>
        <w:tc>
          <w:tcPr>
            <w:tcW w:w="3662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most deep-learning defaults</w:t>
            </w:r>
          </w:p>
        </w:tc>
      </w:tr>
    </w:tbl>
    <w:p>
      <w:pPr>
        <w:spacing w:before="0" w:after="0"/>
      </w:pP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ChatGPT can make mistakes. Check important info.</w:t>
      </w:r>
    </w:p>
    <w:sectPr>
      <w:headerReference w:type="default" r:id="Rabe97339ef404a10"/>
      <w:footerReference w:type="default" r:id="Ra2656ddf1b9642a9"/>
      <w:pgSz w:w="11906" w:h="16838"/>
      <w:pgMar w:top="1440" w:right="1440" w:bottom="1440" w:left="1440" w:header="576" w:footer="576" w:gutter="0"/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Understanding Gradient Descent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Segoe UI Variable" w:hAnsi="Segoe UI Variable" w:eastAsia="Segoe UI Variable" w:cs="Segoe UI Variable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90B0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121417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1b1f23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1b1f23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  <w:style w:type="paragraph" w:styleId="TOC1">
    <w:name w:val="toc 1"/>
    <w:basedOn w:val="Normal"/>
    <w:rPr>
      <w:color w:val="1b1f23"/>
    </w:rPr>
  </w:style>
  <w:style w:type="paragraph" w:styleId="TOC2">
    <w:name w:val="toc 2"/>
    <w:basedOn w:val="Normal"/>
    <w:rPr>
      <w:color w:val="1b1f23"/>
    </w:rPr>
  </w:style>
  <w:style w:type="paragraph" w:styleId="TOC3">
    <w:name w:val="toc 3"/>
    <w:basedOn w:val="Normal"/>
    <w:rPr>
      <w:color w:val="1b1f23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09bd6578301f46bf" /><Relationship Type="http://schemas.openxmlformats.org/officeDocument/2006/relationships/styles" Target="/word/styles.xml" Id="R54fe7bf578444869" /><Relationship Type="http://schemas.openxmlformats.org/officeDocument/2006/relationships/header" Target="/word/header1.xml" Id="Rabe97339ef404a10" /><Relationship Type="http://schemas.openxmlformats.org/officeDocument/2006/relationships/footer" Target="/word/footer1.xml" Id="Ra2656ddf1b9642a9" /><Relationship Type="http://schemas.openxmlformats.org/officeDocument/2006/relationships/settings" Target="/word/settings.xml" Id="R9ce126dc6aa543d3" /><Relationship Type="http://schemas.openxmlformats.org/officeDocument/2006/relationships/customXml" Target="/customXml/item.xml" Id="R4a49f445775d402e" /></Relationships>
</file>

<file path=customXml/item.xml><?xml version="1.0" encoding="utf-8"?>
<marksmithSource schema="marksmith-source-v1" version="3.1.0.0" exportedUtc="2026-09-11T06:01:37.0792583Z" theme="GitHub Light" mermaidMode="1">
  <markdown><![CDATA[> [!WARNING]
> **Raw Export (Without MarkSmith):** This document illustrates standard uncleaned AI copy-paste into Word. Notice the unparsed `\(` math delimiters, citation pips `【12†source】`, clipboard button text (`Copy code`), and stray tokens below.
# Understanding Gradient Descent
Great question! Here's a clear walkthrough of how gradient descent actually works 【12†source】.
**The core idea:** we want to minimise a loss function \( L(\theta) \) by repeatedly stepping in the direction that reduces it fastest — the negative gradient. Each update looks like:
\[
\theta_{t+1} = \theta_t - \eta \nabla_\theta L(\theta_t)
\]
where \( \eta \) is the **learning rate**.
### A minimal implementation
```python
import numpy as np
def gradient_descent(grad, theta, lr=0.1, steps=100):
    for _ in range(steps):
        theta = theta - lr * grad(theta)
    return theta
```
Copy code
### Choosing the learning rate 【3†source】
- Too **small** → training crawls and may never converge in reasonable time
- Too **large** → the loss oscillates or diverges entirely :contentReference[oaicite:0]{index=0}
- A good default is to start around `1e-3` and tune from there
### Variants worth knowing
| Variant | What changes | Good for |
| :--- | :--- | :--- |
| SGD | one sample per step | large datasets |
| Momentum | accumulates past gradients | ravines / plateaus |
| Adam | per-parameter adaptive rates | most deep-learning defaults |
ChatGPT can make mistakes. Check important info.
]]></markdown>
</marksmithSource>
</file>

<file path=docProps/app.xml><?xml version="1.0" encoding="utf-8"?>
<ap:Properties xmlns:ap="http://schemas.openxmlformats.org/officeDocument/2006/extended-properties">
  <ap:Company>Marksmith by Matthew Bubb</ap:Company>
</ap:Properties>
</file>