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customXml/item.xml" ContentType="application/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16dad50701444591" /><Relationship Type="http://schemas.openxmlformats.org/officeDocument/2006/relationships/officeDocument" Target="/word/document.xml" Id="Rc3e738d05ce34f9c" /><Relationship Type="http://schemas.openxmlformats.org/package/2006/relationships/metadata/core-properties" Target="/package/services/metadata/core-properties/e6ed4ea693904e0290aa51cf4d5be6f4.psmdcp" Id="R30d48b74844b4c5f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15="http://schemas.microsoft.com/office/word/2012/wordml" xmlns:a="http://schemas.openxmlformats.org/drawingml/2006/main" xmlns:wp="http://schemas.openxmlformats.org/drawingml/2006/wordprocessingDrawing" xmlns:pic="http://schemas.openxmlformats.org/drawingml/2006/picture" xmlns:c="http://schemas.openxmlformats.org/drawingml/2006/chart" xmlns:dgm="http://schemas.openxmlformats.org/drawingml/2006/diagram" xmlns:wpg="http://schemas.microsoft.com/office/word/2010/wordprocessingGroup" xmlns:wps="http://schemas.microsoft.com/office/word/2010/wordprocessingShape" xmlns:mc="http://schemas.openxmlformats.org/markup-compatibility/2006" mc:Ignorable="w14 w15">
  <w:background w:color="FFFFFF"/>
  <w:body>
    <w:p>
      <w:pPr>
        <w:pStyle w:val="Heading1"/>
      </w:pPr>
      <w:bookmarkStart w:name="H_quantum_mechanics_linear_transfor" w:id="1"/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Quantum Mechanics &amp; Linear Transformations</w:t>
      </w:r>
      <w:bookmarkEnd w:id="1"/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transformation operator </w:t>
      </w:r>
      <m:oMath>
        <m:r>
          <m:rPr>
            <m:sty m:val="b"/>
          </m:rPr>
          <m:t xml:space="preserve">M</m:t>
        </m:r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acts upon the state vector </w:t>
      </w:r>
      <m:oMath>
        <m:r>
          <m:t xml:space="preserve">|</m:t>
        </m:r>
        <m:r>
          <m:t xml:space="preserve">ψ</m:t>
        </m:r>
        <m:r>
          <m:t xml:space="preserve">⟩</m:t>
        </m:r>
      </m:oMath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 in Hilbert space:</w:t>
      </w:r>
    </w:p>
    <w:p>
      <w:pPr>
        <w:spacing w:before="120" w:after="120"/>
        <w:jc w:val="center"/>
      </w:pPr>
      <m:oMath>
        <m:r>
          <m:rPr>
            <m:sty m:val="b"/>
          </m:rPr>
          <m:t xml:space="preserve">M</m:t>
        </m:r>
        <m:r>
          <m:t xml:space="preserve">=</m:t>
        </m:r>
        <m:d>
          <m:dPr>
            <m:begChr m:val="["/>
            <m:endChr m:val="]"/>
          </m:dPr>
          <m:e>
            <m:m>
              <m:mPr>
                <m:plcHide m:val="1"/>
              </m:mPr>
              <m:mr>
                <m:e>
                  <m:f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1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</m:den>
                  </m:f>
                </m:e>
                <m:e>
                  <m:f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1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</m:den>
                  </m:f>
                </m:e>
              </m:mr>
              <m:mr>
                <m:e>
                  <m:f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1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</m:den>
                  </m:f>
                </m:e>
                <m:e>
                  <m:r>
                    <m:t xml:space="preserve">-</m:t>
                  </m:r>
                  <m:f>
                    <m:num>
                      <m:r>
                        <m:t xml:space="preserve">1</m:t>
                      </m:r>
                    </m:num>
                    <m:den>
                      <m:rad>
                        <m:radPr>
                          <m:degHide m:val="1"/>
                        </m:radPr>
                        <m:deg/>
                        <m:e>
                          <m:r>
                            <m:t xml:space="preserve">2</m:t>
                          </m:r>
                        </m:e>
                      </m:rad>
                    </m:den>
                  </m:f>
                </m:e>
              </m:mr>
            </m:m>
          </m:e>
        </m:d>
      </m:oMath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characteristic polynomial and eigenvalue equation are derived as:</w:t>
      </w:r>
    </w:p>
    <w:p>
      <w:pPr>
        <w:spacing w:before="120" w:after="120"/>
        <w:jc w:val="center"/>
      </w:pPr>
      <m:oMath>
        <m:r>
          <m:rPr>
            <m:sty m:val="p"/>
          </m:rPr>
          <m:t xml:space="preserve">det</m:t>
        </m:r>
        <m:r>
          <m:t xml:space="preserve">(</m:t>
        </m:r>
        <m:r>
          <m:rPr>
            <m:sty m:val="b"/>
          </m:rPr>
          <m:t xml:space="preserve">A</m:t>
        </m:r>
        <m:r>
          <m:t xml:space="preserve">-</m:t>
        </m:r>
        <m:r>
          <m:t xml:space="preserve">λ</m:t>
        </m:r>
        <m:r>
          <m:rPr>
            <m:sty m:val="b"/>
          </m:rPr>
          <m:t xml:space="preserve">I</m:t>
        </m:r>
        <m:r>
          <m:t xml:space="preserve">)</m:t>
        </m:r>
        <m:r>
          <m:t xml:space="preserve">=</m:t>
        </m:r>
        <m:sSup>
          <m:e>
            <m:r>
              <m:t xml:space="preserve">λ</m:t>
            </m:r>
          </m:e>
          <m:sup>
            <m:r>
              <m:t xml:space="preserve">2</m:t>
            </m:r>
          </m:sup>
        </m:sSup>
        <m:r>
          <m:t xml:space="preserve">-</m:t>
        </m:r>
        <m:r>
          <m:rPr>
            <m:sty m:val="p"/>
          </m:rPr>
          <m:t xml:space="preserve">tr</m:t>
        </m:r>
        <m:r>
          <m:t xml:space="preserve">(</m:t>
        </m:r>
        <m:r>
          <m:rPr>
            <m:sty m:val="b"/>
          </m:rPr>
          <m:t xml:space="preserve">A</m:t>
        </m:r>
        <m:r>
          <m:t xml:space="preserve">)</m:t>
        </m:r>
        <m:r>
          <m:t xml:space="preserve">λ</m:t>
        </m:r>
        <m:r>
          <m:t xml:space="preserve">+</m:t>
        </m:r>
        <m:r>
          <m:rPr>
            <m:sty m:val="p"/>
          </m:rPr>
          <m:t xml:space="preserve">det</m:t>
        </m:r>
        <m:r>
          <m:t xml:space="preserve">(</m:t>
        </m:r>
        <m:r>
          <m:rPr>
            <m:sty m:val="b"/>
          </m:rPr>
          <m:t xml:space="preserve">A</m:t>
        </m:r>
        <m:r>
          <m:t xml:space="preserve">)</m:t>
        </m:r>
        <m:r>
          <m:t xml:space="preserve">=</m:t>
        </m:r>
        <m:r>
          <m:t xml:space="preserve">0</m:t>
        </m:r>
      </m:oMath>
    </w:p>
    <w:p>
      <w:r>
        <w:rPr>
          <mc:AlternateContent>
            <mc:Choice Requires="w14">
              <w14:ligatures w14:val="standardContextual"/>
              <w14:numForm w14:val="oldStyle"/>
              <w14:numSpacing w14:val="proportional"/>
              <w14:cntxtAlts/>
            </mc:Choice>
          </mc:AlternateContent>
        </w:rPr>
        <w:t xml:space="preserve">The probability density satisfies normalization across all bounds:</w:t>
      </w:r>
    </w:p>
    <w:p>
      <w:pPr>
        <w:spacing w:before="120" w:after="120"/>
        <w:jc w:val="center"/>
      </w:pPr>
      <m:oMath>
        <m:nary>
          <m:naryPr>
            <m:chr m:val="∫"/>
            <m:limLoc m:val="subSup"/>
            <m:subHide m:val="0"/>
            <m:supHide m:val="0"/>
          </m:naryPr>
          <m:sub>
            <m:r>
              <m:t xml:space="preserve">-</m:t>
            </m:r>
            <m:r>
              <m:t xml:space="preserve">∞</m:t>
            </m:r>
          </m:sub>
          <m:sup>
            <m:r>
              <m:t xml:space="preserve">+</m:t>
            </m:r>
            <m:r>
              <m:t xml:space="preserve">∞</m:t>
            </m:r>
          </m:sup>
          <m:e>
            <m:r>
              <m:t xml:space="preserve">|</m:t>
            </m:r>
          </m:e>
        </m:nary>
        <m:r>
          <m:t xml:space="preserve">Ψ</m:t>
        </m:r>
        <m:r>
          <m:t xml:space="preserve">(</m:t>
        </m:r>
        <m:r>
          <m:t xml:space="preserve">x</m:t>
        </m:r>
        <m:r>
          <m:t xml:space="preserve">,</m:t>
        </m:r>
        <m:r>
          <m:t xml:space="preserve">t</m:t>
        </m:r>
        <m:r>
          <m:t xml:space="preserve">)</m:t>
        </m:r>
        <m:sSup>
          <m:e>
            <m:r>
              <m:t xml:space="preserve">|</m:t>
            </m:r>
          </m:e>
          <m:sup>
            <m:r>
              <m:t xml:space="preserve">2</m:t>
            </m:r>
          </m:sup>
        </m:sSup>
        <m:r>
          <m:t xml:space="preserve">d</m:t>
        </m:r>
        <m:r>
          <m:t xml:space="preserve">x</m:t>
        </m:r>
        <m:r>
          <m:t xml:space="preserve">=</m:t>
        </m:r>
        <m:r>
          <m:t xml:space="preserve">1</m:t>
        </m:r>
      </m:oMath>
    </w:p>
    <w:tbl>
      <w:tblPr>
        <w:tblW w:w="5000" w:type="pct"/>
        <w:tblBorders>
          <w:top w:val="none"/>
          <w:left w:val="single" w:color="0969DA" w:sz="30"/>
          <w:bottom w:val="none"/>
          <w:right w:val="none"/>
          <w:insideH w:val="none"/>
          <w:insideV w:val="none"/>
        </w:tblBorders>
      </w:tblPr>
      <w:tblGrid>
        <w:gridCol/>
      </w:tblGrid>
      <w:tr>
        <w:trPr>
          <w:cantSplit/>
        </w:trPr>
        <w:tc>
          <w:tcPr>
            <w:tcW w:w="5000" w:type="pct"/>
            <w:shd w:val="clear" w:color="auto" w:fill="D8E7F9"/>
            <w:tcMar>
              <w:top w:w="160" w:type="dxa"/>
              <w:left w:w="240" w:type="dxa"/>
              <w:bottom w:w="160" w:type="dxa"/>
              <w:right w:w="240" w:type="dxa"/>
            </w:tcMar>
          </w:tcPr>
          <w:p>
            <w:r>
              <w:rPr>
                <w:b/>
                <w:color w:val="121212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ℹ️ NOTE</w:t>
            </w:r>
          </w:p>
          <w:p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MarkSmith compiles the LaTeX math above into </w:t>
            </w:r>
            <w:r>
              <w:rPr>
                <w:b/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native Microsoft Word OMML equations</w:t>
            </w:r>
            <w:r>
              <w:rPr>
                <w:color w:val="1b1f23"/>
                <mc:AlternateContent>
                  <mc:Choice Requires="w14">
                    <w14:ligatures w14:val="standardContextual"/>
                    <w14:numForm w14:val="oldStyle"/>
                    <w14:numSpacing w14:val="proportional"/>
                    <w14:cntxtAlts/>
                  </mc:Choice>
                </mc:AlternateContent>
              </w:rPr>
              <w:t xml:space="preserve">. When opened in Word, every symbol and matrix entry can be edited directly using Word's built-in Equation Tools. Zero rasterization.</w:t>
            </w:r>
          </w:p>
        </w:tc>
      </w:tr>
    </w:tbl>
    <w:sectPr>
      <w:headerReference w:type="default" r:id="R292c904113ca432f"/>
      <w:footerReference w:type="default" r:id="Rb436809013ea42e3"/>
      <w:pgSz w:w="11906" w:h="16838"/>
      <w:pgMar w:top="1440" w:right="1440" w:bottom="1440" w:left="1440" w:header="576" w:footer="576" w:gutter="0"/>
    </w:sectPr>
  </w:body>
</w:document>
</file>

<file path=word/footer1.xml><?xml version="1.0" encoding="utf-8"?>
<w:ftr xmlns:w="http://schemas.openxmlformats.org/wordprocessingml/2006/main">
  <w:p>
    <w:pPr>
      <w:spacing w:after="0"/>
      <w:jc w:val="center"/>
    </w:pPr>
    <w:r>
      <w:rPr>
        <w:color w:val="808080"/>
        <w:sz w:val="16"/>
      </w:rPr>
      <w:t xml:space="preserve">Page </w:t>
    </w:r>
    <w:fldSimple w:instr=" PAGE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of </w:t>
    </w:r>
    <w:fldSimple w:instr=" NUMPAGES ">
      <w:r>
        <w:rPr>
          <w:color w:val="808080"/>
          <w:sz w:val="16"/>
        </w:rPr>
        <w:t>1</w:t>
      </w:r>
    </w:fldSimple>
    <w:r>
      <w:rPr>
        <w:color w:val="808080"/>
        <w:sz w:val="16"/>
      </w:rPr>
      <w:t xml:space="preserve">  ·  MarkSmith</w:t>
    </w:r>
  </w:p>
</w:ftr>
</file>

<file path=word/header1.xml><?xml version="1.0" encoding="utf-8"?>
<w:hdr xmlns:w="http://schemas.openxmlformats.org/wordprocessingml/2006/main">
  <w:p>
    <w:pPr>
      <w:pBdr>
        <w:bottom w:val="single" w:color="D1D5DA" w:sz="6" w:space="3"/>
      </w:pBdr>
      <w:spacing w:after="0"/>
      <w:jc w:val="right"/>
    </w:pPr>
    <w:r>
      <w:rPr>
        <w:smallCaps/>
        <w:color w:val="000000"/>
        <w:spacing w:val="30"/>
        <w:sz w:val="18"/>
      </w:rPr>
      <w:t xml:space="preserve">Quantum Mechanics &amp; Linear Transformations</w:t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10"/>
  <w:displayBackgroundShape/>
  <w:autoHyphenation/>
</w:settings>
</file>

<file path=word/styles.xml><?xml version="1.0" encoding="utf-8"?>
<w:styles xmlns:w="http://schemas.openxmlformats.org/wordprocessingml/2006/main">
  <w:docDefaults>
    <w:rPrDefault>
      <w:rPr>
        <w:rFonts w:ascii="Segoe UI Variable" w:hAnsi="Segoe UI Variable" w:eastAsia="Segoe UI Variable" w:cs="Segoe UI Variable"/>
        <w:color w:val="1b1f23"/>
        <w:kern w:val="16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styleId="Normal" w:default="true">
    <w:name w:val="Normal"/>
  </w:style>
  <w:style w:type="paragraph" w:styleId="Heading1">
    <w:name w:val="heading 1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0"/>
    </w:pPr>
    <w:rPr>
      <w:b/>
      <w:smallCaps/>
      <w:color w:val="000000"/>
      <w:spacing w:val="20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D1D5DA" w:sz="12" w:space="4"/>
      </w:pBdr>
      <w:spacing w:before="280" w:after="140"/>
      <w:outlineLvl w:val="1"/>
    </w:pPr>
    <w:rPr>
      <w:b/>
      <w:color w:val="090B0C"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spacing w:before="280" w:after="140"/>
      <w:outlineLvl w:val="2"/>
    </w:pPr>
    <w:rPr>
      <w:b/>
      <w:color w:val="121417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spacing w:before="280" w:after="140"/>
      <w:outlineLvl w:val="3"/>
    </w:pPr>
    <w:rPr>
      <w:b/>
      <w:color w:val="1b1f23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spacing w:before="280" w:after="140"/>
      <w:outlineLvl w:val="4"/>
    </w:pPr>
    <w:rPr>
      <w:b/>
      <w:color w:val="1b1f23"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spacing w:before="280" w:after="140"/>
      <w:outlineLvl w:val="5"/>
    </w:pPr>
    <w:rPr>
      <w:b/>
      <w:color w:val="6A737D"/>
      <w:sz w:val="22"/>
      <w:szCs w:val="22"/>
    </w:rPr>
  </w:style>
  <w:style w:type="character" w:styleId="Hyperlink">
    <w:name w:val="Hyperlink"/>
    <w:rPr>
      <w:color w:val="0563C1"/>
      <w:u w:val="single"/>
    </w:rPr>
  </w:style>
  <w:style w:type="paragraph" w:styleId="TOC1">
    <w:name w:val="toc 1"/>
    <w:basedOn w:val="Normal"/>
    <w:rPr>
      <w:color w:val="1b1f23"/>
    </w:rPr>
  </w:style>
  <w:style w:type="paragraph" w:styleId="TOC2">
    <w:name w:val="toc 2"/>
    <w:basedOn w:val="Normal"/>
    <w:rPr>
      <w:color w:val="1b1f23"/>
    </w:rPr>
  </w:style>
  <w:style w:type="paragraph" w:styleId="TOC3">
    <w:name w:val="toc 3"/>
    <w:basedOn w:val="Normal"/>
    <w:rPr>
      <w:color w:val="1b1f23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R5464acfa9f98482d" /><Relationship Type="http://schemas.openxmlformats.org/officeDocument/2006/relationships/styles" Target="/word/styles.xml" Id="R3a1e00d3c807473e" /><Relationship Type="http://schemas.openxmlformats.org/officeDocument/2006/relationships/header" Target="/word/header1.xml" Id="R292c904113ca432f" /><Relationship Type="http://schemas.openxmlformats.org/officeDocument/2006/relationships/footer" Target="/word/footer1.xml" Id="Rb436809013ea42e3" /><Relationship Type="http://schemas.openxmlformats.org/officeDocument/2006/relationships/settings" Target="/word/settings.xml" Id="R753f26625b68495c" /><Relationship Type="http://schemas.openxmlformats.org/officeDocument/2006/relationships/customXml" Target="/customXml/item.xml" Id="R5b9fa50100d64727" /></Relationships>
</file>

<file path=customXml/item.xml><?xml version="1.0" encoding="utf-8"?>
<marksmithSource schema="marksmith-source-v1" version="3.1.0.0" exportedUtc="2026-09-11T06:01:36.3726726Z" theme="GitHub Light" mermaidMode="1">
  <markdown><![CDATA[# Quantum Mechanics & Linear Transformations
The transformation operator $\mathbf{M}$ acts upon the state vector $|\psi\rangle$ in Hilbert space:
$$
\mathbf{M} = \begin{bmatrix}
\frac{1}{\sqrt{2}} & \frac{1}{\sqrt{2}} \\
\frac{1}{\sqrt{2}} & -\frac{1}{\sqrt{2}}
\end{bmatrix}
$$
The characteristic polynomial and eigenvalue equation are derived as:
$$
\det(\mathbf{A} - \lambda \mathbf{I}) = \lambda^2 - \text{tr}(\mathbf{A})\lambda + \det(\mathbf{A}) = 0
$$
The probability density satisfies normalization across all bounds:
$$
\int_{-\infty}^{+\infty} |\Psi(x, t)|^2 \, dx = 1
$$
> [!NOTE]
> MarkSmith compiles the LaTeX math above into **native Microsoft Word OMML equations**. When opened in Word, every symbol and matrix entry can be edited directly using Word's built-in Equation Tools. Zero rasterization.
]]></markdown>
</marksmithSource>
</file>

<file path=docProps/app.xml><?xml version="1.0" encoding="utf-8"?>
<ap:Properties xmlns:ap="http://schemas.openxmlformats.org/officeDocument/2006/extended-properties">
  <ap:Company>Marksmith by Matthew Bubb</ap:Company>
</ap:Properties>
</file>